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ECDA" w14:textId="77777777" w:rsidR="00BB4EAC" w:rsidRPr="00815B7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 xml:space="preserve">[ </w:t>
      </w:r>
      <w:r w:rsidRPr="00815B79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n-US" w:eastAsia="da-DK"/>
        </w:rPr>
        <w:t>Sender: name, institution/organisation,</w:t>
      </w:r>
    </w:p>
    <w:p w14:paraId="270C477B" w14:textId="77777777" w:rsidR="00BB4EAC" w:rsidRPr="00815B7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n-US" w:eastAsia="da-DK"/>
        </w:rPr>
      </w:pPr>
      <w:r w:rsidRPr="00815B79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n-US" w:eastAsia="da-DK"/>
        </w:rPr>
        <w:t>letterhead of org. if possible</w:t>
      </w:r>
    </w:p>
    <w:p w14:paraId="1D1EFCD2" w14:textId="6187A4E3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</w:pPr>
      <w:r w:rsidRPr="00815B79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n-US" w:eastAsia="da-DK"/>
        </w:rPr>
        <w:t>Address, Country</w:t>
      </w: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]</w:t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  <w:t xml:space="preserve"> </w:t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 w:rsidR="00815B79"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[</w:t>
      </w:r>
      <w:r w:rsidRPr="00815B79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n-US" w:eastAsia="da-DK"/>
        </w:rPr>
        <w:t>date</w:t>
      </w: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]</w:t>
      </w:r>
    </w:p>
    <w:p w14:paraId="48D5D489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4E477A37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27285FC8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52EF404A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European Commission DG </w:t>
      </w:r>
    </w:p>
    <w:p w14:paraId="3F823F68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SANTE Unit E.4 – </w:t>
      </w:r>
    </w:p>
    <w:p w14:paraId="02C76189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Pesticides and Biocides F101 05/068 </w:t>
      </w:r>
    </w:p>
    <w:p w14:paraId="35F575B3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1049 Brussels </w:t>
      </w:r>
    </w:p>
    <w:p w14:paraId="24B11EF6" w14:textId="77777777" w:rsidR="00BB4EAC" w:rsidRPr="00BB4EAC" w:rsidRDefault="00BB4EAC" w:rsidP="00BB4EAC">
      <w:pPr>
        <w:pStyle w:val="berschrift1"/>
        <w:spacing w:before="0"/>
        <w:rPr>
          <w:rFonts w:cstheme="majorHAnsi"/>
          <w:sz w:val="22"/>
          <w:szCs w:val="22"/>
          <w:lang w:val="en-US"/>
        </w:rPr>
      </w:pPr>
      <w:r w:rsidRPr="00BB4EAC">
        <w:rPr>
          <w:rFonts w:eastAsia="Calibri" w:cstheme="majorHAnsi"/>
          <w:bCs/>
          <w:color w:val="auto"/>
          <w:sz w:val="22"/>
          <w:szCs w:val="22"/>
          <w:lang w:val="en-US" w:eastAsia="da-DK"/>
        </w:rPr>
        <w:t>Belgium</w:t>
      </w:r>
    </w:p>
    <w:p w14:paraId="39FD800F" w14:textId="77777777" w:rsidR="00BB4EAC" w:rsidRDefault="00BB4EAC" w:rsidP="00BB4EAC">
      <w:pPr>
        <w:pStyle w:val="berschrift2"/>
        <w:rPr>
          <w:b/>
          <w:lang w:val="en-US"/>
        </w:rPr>
      </w:pPr>
    </w:p>
    <w:p w14:paraId="4D269E3C" w14:textId="77777777" w:rsidR="00430A8E" w:rsidRPr="00BB4EAC" w:rsidRDefault="00DA0965" w:rsidP="00BB4EAC">
      <w:pPr>
        <w:pStyle w:val="berschrift2"/>
        <w:rPr>
          <w:b/>
          <w:lang w:val="en-US"/>
        </w:rPr>
      </w:pPr>
      <w:r w:rsidRPr="00BB4EAC">
        <w:rPr>
          <w:b/>
          <w:lang w:val="en-US"/>
        </w:rPr>
        <w:t xml:space="preserve">Appeal for the cultural heritage collections: </w:t>
      </w:r>
      <w:r w:rsidR="00430A8E" w:rsidRPr="00BB4EAC">
        <w:rPr>
          <w:b/>
          <w:lang w:val="en-US"/>
        </w:rPr>
        <w:t>Allow a derogation of t</w:t>
      </w:r>
      <w:r w:rsidRPr="00BB4EAC">
        <w:rPr>
          <w:b/>
          <w:lang w:val="en-US"/>
        </w:rPr>
        <w:t>he nitrogen ban (EU 528/2012)</w:t>
      </w:r>
    </w:p>
    <w:p w14:paraId="5D913505" w14:textId="77777777" w:rsidR="00430A8E" w:rsidRPr="00BB4EAC" w:rsidRDefault="00D23DD9" w:rsidP="007D58EB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Memory institutions, m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>useum</w:t>
      </w:r>
      <w:r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and monuments</w:t>
      </w:r>
      <w:r w:rsidR="004C73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are frequently challenged by pests due to </w:t>
      </w:r>
      <w:r w:rsidR="002337D3" w:rsidRPr="002337D3">
        <w:rPr>
          <w:rFonts w:asciiTheme="majorHAnsi" w:hAnsiTheme="majorHAnsi" w:cstheme="majorHAnsi"/>
          <w:sz w:val="24"/>
          <w:szCs w:val="24"/>
          <w:lang w:val="en-US"/>
        </w:rPr>
        <w:t>various forms of contamination</w:t>
      </w:r>
      <w:r w:rsidR="002337D3">
        <w:rPr>
          <w:rFonts w:asciiTheme="majorHAnsi" w:hAnsiTheme="majorHAnsi" w:cstheme="majorHAnsi"/>
          <w:sz w:val="24"/>
          <w:szCs w:val="24"/>
          <w:lang w:val="en-US"/>
        </w:rPr>
        <w:t xml:space="preserve"> and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chang</w:t>
      </w:r>
      <w:r>
        <w:rPr>
          <w:rFonts w:asciiTheme="majorHAnsi" w:hAnsiTheme="majorHAnsi" w:cstheme="majorHAnsi"/>
          <w:sz w:val="24"/>
          <w:szCs w:val="24"/>
          <w:lang w:val="en-US"/>
        </w:rPr>
        <w:t>ing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climatic conditions. </w:t>
      </w:r>
    </w:p>
    <w:p w14:paraId="26ABD6C3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>One of the most versatile and environmentally friendly methods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>where the use of hazardous chemicals is avoided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for disinfection purposes 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are</w:t>
      </w:r>
      <w:r w:rsidR="00E47530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“anoxia” or controlled atmospheres with an extremely low content of oxygen in treatment chambers where </w:t>
      </w:r>
      <w:r w:rsidRPr="00BB4EAC">
        <w:rPr>
          <w:rFonts w:asciiTheme="majorHAnsi" w:hAnsiTheme="majorHAnsi" w:cstheme="majorHAnsi"/>
          <w:b/>
          <w:sz w:val="24"/>
          <w:szCs w:val="24"/>
          <w:lang w:val="en-US"/>
        </w:rPr>
        <w:t>nitrogen is generated in situ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for anoxic insect disinfestation of cultural heritage objects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95AB76E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n-US"/>
        </w:rPr>
      </w:pPr>
    </w:p>
    <w:p w14:paraId="183BC078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u w:val="single"/>
          <w:lang w:val="en-US"/>
        </w:rPr>
        <w:t>The EU legislation issue</w:t>
      </w:r>
    </w:p>
    <w:p w14:paraId="47537656" w14:textId="70804AE7" w:rsidR="00430A8E" w:rsidRPr="00BB4EAC" w:rsidRDefault="00430A8E" w:rsidP="007D58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Since the mandatory registration of the use of nitrogen for disinfection purposes by the biocidal products regulation EU 528/2012 in September 2017, only one method of using nitrogen (along with several other restrictions) was acknowledged and included: nitrogen in canisters. 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n situ generated nitrogen fell out. 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>The nitrogen ban is not justified for health aspects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 xml:space="preserve"> and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 xml:space="preserve"> economically damaging the market of European stakeho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 xml:space="preserve">lders in the integrated pest 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>man</w:t>
      </w:r>
      <w:r w:rsidR="00DC1A8E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>gement (IPM) busine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ss.</w:t>
      </w:r>
    </w:p>
    <w:p w14:paraId="67EFAAAA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0732B66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>Because of this juridical flaw, existing anoxia facilities in Europe can no longer be operated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 legally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. As a result, cultural heritage institutions are facing 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>an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acute danger 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of damage or irretrievable loss. </w:t>
      </w:r>
    </w:p>
    <w:p w14:paraId="0D54DAA0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B53D544" w14:textId="77777777" w:rsidR="00D23DD9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93016">
        <w:rPr>
          <w:rFonts w:asciiTheme="majorHAnsi" w:hAnsiTheme="majorHAnsi" w:cstheme="majorHAnsi"/>
          <w:b/>
          <w:sz w:val="24"/>
          <w:szCs w:val="24"/>
          <w:lang w:val="en-US"/>
        </w:rPr>
        <w:t xml:space="preserve">I </w:t>
      </w:r>
      <w:r w:rsidR="00430A8E" w:rsidRPr="00A93016">
        <w:rPr>
          <w:rFonts w:asciiTheme="majorHAnsi" w:hAnsiTheme="majorHAnsi" w:cstheme="majorHAnsi"/>
          <w:b/>
          <w:sz w:val="24"/>
          <w:szCs w:val="24"/>
          <w:lang w:val="en-US"/>
        </w:rPr>
        <w:t>therefore strongly urge the Commission to allow for a derogation under art. 55(3) in the BPR to be granted those Member States applying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because this method allows any material to be safely treated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contrary to the alternatives</w:t>
      </w:r>
      <w:r w:rsidR="00DC22EF">
        <w:rPr>
          <w:rFonts w:asciiTheme="majorHAnsi" w:hAnsiTheme="majorHAnsi" w:cstheme="majorHAnsi"/>
          <w:sz w:val="24"/>
          <w:szCs w:val="24"/>
          <w:lang w:val="en-US"/>
        </w:rPr>
        <w:t>. I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>n situ generated nitrogen is harmless, the most economic and environmentally friendly alternative to the presently allowed use of nitrogen for this purpose.</w:t>
      </w:r>
    </w:p>
    <w:p w14:paraId="2A293A77" w14:textId="77777777" w:rsidR="00D23DD9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AB4B9E1" w14:textId="77777777" w:rsidR="00430A8E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23DD9">
        <w:rPr>
          <w:rFonts w:asciiTheme="majorHAnsi" w:hAnsiTheme="majorHAnsi" w:cstheme="majorHAnsi"/>
          <w:sz w:val="24"/>
          <w:szCs w:val="24"/>
          <w:lang w:val="en-US"/>
        </w:rPr>
        <w:t>I look forward to hearing from you on this important matter.</w:t>
      </w:r>
    </w:p>
    <w:p w14:paraId="524BADA0" w14:textId="77777777" w:rsidR="00BB4EAC" w:rsidRDefault="00BB4EAC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3C50B881" w14:textId="77777777" w:rsidR="00BB4EA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FC2FD7C" w14:textId="77777777" w:rsidR="00BB4EA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Sincerely, </w:t>
      </w:r>
    </w:p>
    <w:p w14:paraId="768368F7" w14:textId="07D15C08" w:rsidR="00BB4EAC" w:rsidRPr="00BB4EAC" w:rsidRDefault="00BB4EAC" w:rsidP="00430A8E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[  </w:t>
      </w:r>
      <w:bookmarkStart w:id="0" w:name="_GoBack"/>
      <w:bookmarkEnd w:id="0"/>
      <w:r w:rsidRPr="00815B79">
        <w:rPr>
          <w:rFonts w:asciiTheme="majorHAnsi" w:hAnsiTheme="majorHAnsi" w:cstheme="majorHAnsi"/>
          <w:color w:val="808080" w:themeColor="background1" w:themeShade="80"/>
          <w:sz w:val="24"/>
          <w:szCs w:val="24"/>
          <w:highlight w:val="yellow"/>
          <w:lang w:val="en-US"/>
        </w:rPr>
        <w:t>name</w:t>
      </w:r>
      <w:r w:rsidR="00815B79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 </w:t>
      </w:r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]</w:t>
      </w:r>
    </w:p>
    <w:p w14:paraId="2A5ED3BA" w14:textId="77777777" w:rsidR="00156D9C" w:rsidRPr="00BB4EAC" w:rsidRDefault="00156D9C">
      <w:pPr>
        <w:rPr>
          <w:rFonts w:asciiTheme="majorHAnsi" w:hAnsiTheme="majorHAnsi" w:cstheme="majorHAnsi"/>
          <w:lang w:val="en-US"/>
        </w:rPr>
      </w:pPr>
    </w:p>
    <w:sectPr w:rsidR="00156D9C" w:rsidRPr="00BB4E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8E"/>
    <w:rsid w:val="00110037"/>
    <w:rsid w:val="00156D9C"/>
    <w:rsid w:val="002337D3"/>
    <w:rsid w:val="00234C0C"/>
    <w:rsid w:val="003B0717"/>
    <w:rsid w:val="00430A8E"/>
    <w:rsid w:val="004C73FC"/>
    <w:rsid w:val="007D58EB"/>
    <w:rsid w:val="00815B79"/>
    <w:rsid w:val="00844F80"/>
    <w:rsid w:val="00A93016"/>
    <w:rsid w:val="00BB4EAC"/>
    <w:rsid w:val="00D23DD9"/>
    <w:rsid w:val="00DA0965"/>
    <w:rsid w:val="00DC1A8E"/>
    <w:rsid w:val="00DC22EF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Rebecca Thonander</cp:lastModifiedBy>
  <cp:revision>4</cp:revision>
  <dcterms:created xsi:type="dcterms:W3CDTF">2019-12-04T09:23:00Z</dcterms:created>
  <dcterms:modified xsi:type="dcterms:W3CDTF">2019-12-11T08:59:00Z</dcterms:modified>
</cp:coreProperties>
</file>