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5ECDA" w14:textId="2EFF3C9C" w:rsidR="00BB4EAC" w:rsidRPr="005A44C7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[</w:t>
      </w:r>
      <w:r w:rsidR="00A54F62" w:rsidRPr="005A44C7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  <w:t>Remitente</w:t>
      </w:r>
      <w:r w:rsidRPr="005A44C7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  <w:t>:</w:t>
      </w:r>
      <w:r w:rsidR="00A54F62" w:rsidRPr="005A44C7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  <w:t xml:space="preserve"> nombre, institución/organización</w:t>
      </w:r>
      <w:r w:rsidRPr="005A44C7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  <w:t>,</w:t>
      </w:r>
    </w:p>
    <w:p w14:paraId="270C477B" w14:textId="08BCFDC6" w:rsidR="00BB4EAC" w:rsidRPr="005A44C7" w:rsidRDefault="00A54F62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</w:pPr>
      <w:r w:rsidRPr="005A44C7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  <w:t>Membrete de la org</w:t>
      </w:r>
      <w:r w:rsidR="00BB4EAC" w:rsidRPr="005A44C7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  <w:t>.</w:t>
      </w:r>
      <w:r w:rsidRPr="005A44C7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  <w:t xml:space="preserve"> si es posible,</w:t>
      </w:r>
    </w:p>
    <w:p w14:paraId="1D1EFCD2" w14:textId="7DAE0C67" w:rsidR="00BB4EAC" w:rsidRPr="007C38FC" w:rsidRDefault="00A54F62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</w:pPr>
      <w:r w:rsidRPr="005A44C7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  <w:t>Dirección, país</w:t>
      </w:r>
      <w:r w:rsidR="00BB4EAC"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]</w:t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ab/>
        <w:t xml:space="preserve"> </w:t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ab/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ab/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ab/>
      </w:r>
      <w:r w:rsidR="005A44C7">
        <w:rPr>
          <w:rFonts w:asciiTheme="majorHAnsi" w:eastAsia="Calibri" w:hAnsiTheme="majorHAnsi" w:cstheme="majorHAnsi"/>
          <w:bCs/>
          <w:color w:val="000000"/>
          <w:lang w:val="es-ES" w:eastAsia="da-DK"/>
        </w:rPr>
        <w:tab/>
      </w:r>
      <w:r w:rsidR="00BB4EAC"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[</w:t>
      </w:r>
      <w:r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f</w:t>
      </w:r>
      <w:r w:rsidRPr="005A44C7">
        <w:rPr>
          <w:rFonts w:asciiTheme="majorHAnsi" w:eastAsia="Calibri" w:hAnsiTheme="majorHAnsi" w:cstheme="majorHAnsi"/>
          <w:bCs/>
          <w:color w:val="808080" w:themeColor="background1" w:themeShade="80"/>
          <w:highlight w:val="yellow"/>
          <w:lang w:val="es-ES" w:eastAsia="da-DK"/>
        </w:rPr>
        <w:t>echa</w:t>
      </w:r>
      <w:r w:rsidR="00BB4EAC" w:rsidRPr="007C38FC">
        <w:rPr>
          <w:rFonts w:asciiTheme="majorHAnsi" w:eastAsia="Calibri" w:hAnsiTheme="majorHAnsi" w:cstheme="majorHAnsi"/>
          <w:bCs/>
          <w:color w:val="808080" w:themeColor="background1" w:themeShade="80"/>
          <w:lang w:val="es-ES" w:eastAsia="da-DK"/>
        </w:rPr>
        <w:t>]</w:t>
      </w:r>
    </w:p>
    <w:p w14:paraId="48D5D489" w14:textId="77777777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</w:p>
    <w:p w14:paraId="4E477A37" w14:textId="77777777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</w:p>
    <w:p w14:paraId="27285FC8" w14:textId="77777777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</w:p>
    <w:p w14:paraId="52EF404A" w14:textId="20ABCE0B" w:rsidR="00BB4EAC" w:rsidRPr="007C38FC" w:rsidRDefault="00A54F62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DG Comisión </w:t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Europea </w:t>
      </w:r>
    </w:p>
    <w:p w14:paraId="3F823F68" w14:textId="180F1456" w:rsidR="00BB4EAC" w:rsidRPr="007C38FC" w:rsidRDefault="00060ED5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Unidad </w:t>
      </w:r>
      <w:r w:rsidR="00BB4EAC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SANTE E.4 – </w:t>
      </w:r>
    </w:p>
    <w:p w14:paraId="02C76189" w14:textId="365CF2E3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>Pesticid</w:t>
      </w:r>
      <w:r w:rsidR="00A963B7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as y Biocidas </w:t>
      </w: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 xml:space="preserve">F101 05/068 </w:t>
      </w:r>
    </w:p>
    <w:p w14:paraId="35F575B3" w14:textId="6C1B319A" w:rsidR="00BB4EAC" w:rsidRPr="007C38FC" w:rsidRDefault="00BB4EAC" w:rsidP="00BB4EAC">
      <w:pPr>
        <w:autoSpaceDE w:val="0"/>
        <w:autoSpaceDN w:val="0"/>
        <w:spacing w:after="0" w:line="240" w:lineRule="auto"/>
        <w:rPr>
          <w:rFonts w:asciiTheme="majorHAnsi" w:eastAsia="Calibri" w:hAnsiTheme="majorHAnsi" w:cstheme="majorHAnsi"/>
          <w:bCs/>
          <w:color w:val="000000"/>
          <w:lang w:val="es-ES" w:eastAsia="da-DK"/>
        </w:rPr>
      </w:pPr>
      <w:r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>1049 Brus</w:t>
      </w:r>
      <w:r w:rsidR="008F0B0B" w:rsidRPr="007C38FC">
        <w:rPr>
          <w:rFonts w:asciiTheme="majorHAnsi" w:eastAsia="Calibri" w:hAnsiTheme="majorHAnsi" w:cstheme="majorHAnsi"/>
          <w:bCs/>
          <w:color w:val="000000"/>
          <w:lang w:val="es-ES" w:eastAsia="da-DK"/>
        </w:rPr>
        <w:t>elas</w:t>
      </w:r>
    </w:p>
    <w:p w14:paraId="24B11EF6" w14:textId="488FA7D2" w:rsidR="00BB4EAC" w:rsidRPr="007C38FC" w:rsidRDefault="00A54F62" w:rsidP="00BB4EAC">
      <w:pPr>
        <w:pStyle w:val="berschrift1"/>
        <w:spacing w:before="0"/>
        <w:rPr>
          <w:rFonts w:cstheme="majorHAnsi"/>
          <w:sz w:val="22"/>
          <w:szCs w:val="22"/>
          <w:lang w:val="es-ES"/>
        </w:rPr>
      </w:pPr>
      <w:r w:rsidRPr="007C38FC">
        <w:rPr>
          <w:rFonts w:eastAsia="Calibri" w:cstheme="majorHAnsi"/>
          <w:bCs/>
          <w:color w:val="auto"/>
          <w:sz w:val="22"/>
          <w:szCs w:val="22"/>
          <w:lang w:val="es-ES" w:eastAsia="da-DK"/>
        </w:rPr>
        <w:t>Bélgica</w:t>
      </w:r>
    </w:p>
    <w:p w14:paraId="39FD800F" w14:textId="77777777" w:rsidR="00BB4EAC" w:rsidRPr="007C38FC" w:rsidRDefault="00BB4EAC" w:rsidP="00BB4EAC">
      <w:pPr>
        <w:pStyle w:val="berschrift2"/>
        <w:rPr>
          <w:b/>
          <w:lang w:val="es-ES"/>
        </w:rPr>
      </w:pPr>
    </w:p>
    <w:p w14:paraId="57ADE792" w14:textId="4E4B3DA8" w:rsidR="00A54F62" w:rsidRPr="007C38FC" w:rsidRDefault="00060ED5" w:rsidP="00A54F62">
      <w:pPr>
        <w:pStyle w:val="berschrift2"/>
        <w:rPr>
          <w:b/>
          <w:lang w:val="es-ES"/>
        </w:rPr>
      </w:pPr>
      <w:r w:rsidRPr="007C38FC">
        <w:rPr>
          <w:b/>
          <w:lang w:val="es-ES"/>
        </w:rPr>
        <w:t>Recurso por</w:t>
      </w:r>
      <w:r w:rsidR="00A54F62" w:rsidRPr="007C38FC">
        <w:rPr>
          <w:b/>
          <w:lang w:val="es-ES"/>
        </w:rPr>
        <w:t xml:space="preserve"> las colecciones de</w:t>
      </w:r>
      <w:r w:rsidR="00503EA3">
        <w:rPr>
          <w:b/>
          <w:lang w:val="es-ES"/>
        </w:rPr>
        <w:t>l</w:t>
      </w:r>
      <w:r w:rsidR="00A54F62" w:rsidRPr="007C38FC">
        <w:rPr>
          <w:b/>
          <w:lang w:val="es-ES"/>
        </w:rPr>
        <w:t xml:space="preserve"> patrimonio cultural: permit</w:t>
      </w:r>
      <w:r w:rsidR="00A963B7" w:rsidRPr="007C38FC">
        <w:rPr>
          <w:b/>
          <w:lang w:val="es-ES"/>
        </w:rPr>
        <w:t>ir un</w:t>
      </w:r>
      <w:r w:rsidR="00A54F62" w:rsidRPr="007C38FC">
        <w:rPr>
          <w:b/>
          <w:lang w:val="es-ES"/>
        </w:rPr>
        <w:t>a derogación de la prohibición de</w:t>
      </w:r>
      <w:r w:rsidR="00503EA3">
        <w:rPr>
          <w:b/>
          <w:lang w:val="es-ES"/>
        </w:rPr>
        <w:t>l uso de</w:t>
      </w:r>
      <w:r w:rsidR="00A54F62" w:rsidRPr="007C38FC">
        <w:rPr>
          <w:b/>
          <w:lang w:val="es-ES"/>
        </w:rPr>
        <w:t xml:space="preserve"> nitrógeno (</w:t>
      </w:r>
      <w:r w:rsidR="00A963B7" w:rsidRPr="007C38FC">
        <w:rPr>
          <w:b/>
          <w:lang w:val="es-ES"/>
        </w:rPr>
        <w:t>UE</w:t>
      </w:r>
      <w:r w:rsidR="00A54F62" w:rsidRPr="007C38FC">
        <w:rPr>
          <w:b/>
          <w:lang w:val="es-ES"/>
        </w:rPr>
        <w:t xml:space="preserve"> 528/2012)</w:t>
      </w:r>
      <w:r w:rsidR="00503EA3">
        <w:rPr>
          <w:b/>
          <w:lang w:val="es-ES"/>
        </w:rPr>
        <w:t>.</w:t>
      </w:r>
    </w:p>
    <w:p w14:paraId="009B134C" w14:textId="4599AC9F" w:rsidR="00A54F62" w:rsidRPr="007C38FC" w:rsidRDefault="00A54F62" w:rsidP="00A54F62">
      <w:pPr>
        <w:pStyle w:val="berschrift2"/>
        <w:rPr>
          <w:b/>
          <w:lang w:val="es-ES"/>
        </w:rPr>
      </w:pPr>
    </w:p>
    <w:p w14:paraId="505DFFB0" w14:textId="69388BAB" w:rsidR="000C5DAD" w:rsidRPr="007C38FC" w:rsidRDefault="00060ED5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>as i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nstituciones de la memoria,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los 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museos y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los 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monumentos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se ven frecuentemente amenazad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>o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s por las plagas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>de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>bid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>as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a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las diferentes 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formas de contaminación y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al cambio de </w:t>
      </w:r>
      <w:r w:rsidR="000C5DAD" w:rsidRPr="007C38FC">
        <w:rPr>
          <w:rFonts w:asciiTheme="majorHAnsi" w:hAnsiTheme="majorHAnsi" w:cstheme="majorHAnsi"/>
          <w:sz w:val="24"/>
          <w:szCs w:val="24"/>
          <w:lang w:val="es-ES"/>
        </w:rPr>
        <w:t>las condiciones climáticas.</w:t>
      </w:r>
    </w:p>
    <w:p w14:paraId="07A43F65" w14:textId="4320B173" w:rsidR="008F355D" w:rsidRPr="007C38FC" w:rsidRDefault="008F355D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844659D" w14:textId="5534D38F" w:rsidR="008F355D" w:rsidRPr="007C38FC" w:rsidRDefault="00434D82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>Uno de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los métodos </w:t>
      </w:r>
      <w:r w:rsidR="00503EA3" w:rsidRPr="007C38FC">
        <w:rPr>
          <w:rFonts w:asciiTheme="majorHAnsi" w:hAnsiTheme="majorHAnsi" w:cstheme="majorHAnsi"/>
          <w:sz w:val="24"/>
          <w:szCs w:val="24"/>
          <w:lang w:val="es-ES"/>
        </w:rPr>
        <w:t>más versátiles y respetuosos con el medioambiente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 xml:space="preserve"> empleados </w:t>
      </w:r>
      <w:r w:rsidR="00503EA3" w:rsidRPr="007C38FC">
        <w:rPr>
          <w:rFonts w:asciiTheme="majorHAnsi" w:hAnsiTheme="majorHAnsi" w:cstheme="majorHAnsi"/>
          <w:sz w:val="24"/>
          <w:szCs w:val="24"/>
          <w:lang w:val="es-ES"/>
        </w:rPr>
        <w:t>para desinfectar</w:t>
      </w:r>
      <w:r w:rsidR="00060ED5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, 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 xml:space="preserve">y 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>que evita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el uso de productos químicos peligrosos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,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es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la “anoxia” o atmósferas controladas con un contenido extremadamente bajo de oxígeno en cámaras de tratamiento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 xml:space="preserve">, en las cuales </w:t>
      </w:r>
      <w:r w:rsidR="00265499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se genera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nitrógeno </w:t>
      </w:r>
      <w:r w:rsidR="008F355D" w:rsidRPr="007C38FC">
        <w:rPr>
          <w:rFonts w:asciiTheme="majorHAnsi" w:hAnsiTheme="majorHAnsi" w:cstheme="majorHAnsi"/>
          <w:b/>
          <w:bCs/>
          <w:i/>
          <w:iCs/>
          <w:sz w:val="24"/>
          <w:szCs w:val="24"/>
          <w:lang w:val="es-ES"/>
        </w:rPr>
        <w:t>in situ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para la desinfe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>c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tación</w:t>
      </w:r>
      <w:r w:rsidR="003476C1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e insectos anóxica</w:t>
      </w:r>
      <w:r w:rsidR="00503EA3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65499">
        <w:rPr>
          <w:rFonts w:asciiTheme="majorHAnsi" w:hAnsiTheme="majorHAnsi" w:cstheme="majorHAnsi"/>
          <w:sz w:val="24"/>
          <w:szCs w:val="24"/>
          <w:lang w:val="es-ES"/>
        </w:rPr>
        <w:t xml:space="preserve">en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objetos del patrimonio cultural.</w:t>
      </w:r>
    </w:p>
    <w:p w14:paraId="295AB76E" w14:textId="77777777" w:rsidR="00430A8E" w:rsidRPr="007C38F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s-ES"/>
        </w:rPr>
      </w:pPr>
    </w:p>
    <w:p w14:paraId="183BC078" w14:textId="160886D6" w:rsidR="00430A8E" w:rsidRPr="007C38FC" w:rsidRDefault="00434D82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u w:val="single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u w:val="single"/>
          <w:lang w:val="es-ES"/>
        </w:rPr>
        <w:t xml:space="preserve">La cuestión </w:t>
      </w:r>
      <w:r w:rsidR="008F355D" w:rsidRPr="007C38FC">
        <w:rPr>
          <w:rFonts w:asciiTheme="majorHAnsi" w:hAnsiTheme="majorHAnsi" w:cstheme="majorHAnsi"/>
          <w:sz w:val="24"/>
          <w:szCs w:val="24"/>
          <w:u w:val="single"/>
          <w:lang w:val="es-ES"/>
        </w:rPr>
        <w:t>de la legislación de la UE</w:t>
      </w:r>
    </w:p>
    <w:p w14:paraId="51CFECF1" w14:textId="51216DEC" w:rsidR="008F355D" w:rsidRPr="007C38FC" w:rsidRDefault="008F355D" w:rsidP="007D58E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theme="majorHAnsi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Desde el registro obligatorio del uso de nitrógeno para desinfectar por </w:t>
      </w:r>
      <w:r w:rsidR="000F5B1B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el Reglamento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UE 528/2012 </w:t>
      </w:r>
      <w:r w:rsidR="000F5B1B" w:rsidRPr="007C38FC">
        <w:rPr>
          <w:rFonts w:asciiTheme="majorHAnsi" w:hAnsiTheme="majorHAnsi" w:cstheme="majorHAnsi"/>
          <w:sz w:val="24"/>
          <w:szCs w:val="24"/>
          <w:lang w:val="es-ES"/>
        </w:rPr>
        <w:t>sobre Productos Biocidas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de septiembre de 2017, solo </w:t>
      </w:r>
      <w:r w:rsidR="000F5B1B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se ha reconocido e incluido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un método de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utilización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de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nitrógeno (junto con otras restricciones): nitrógeno en </w:t>
      </w:r>
      <w:r w:rsidR="000F5B1B" w:rsidRPr="007C38FC">
        <w:rPr>
          <w:rFonts w:asciiTheme="majorHAnsi" w:hAnsiTheme="majorHAnsi" w:cstheme="majorHAnsi"/>
          <w:sz w:val="24"/>
          <w:szCs w:val="24"/>
          <w:lang w:val="es-ES"/>
        </w:rPr>
        <w:t>cartuchos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. El nitrógeno generado </w:t>
      </w:r>
      <w:r w:rsidRPr="007C38FC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in situ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no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fue autorizado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. La prohibición del uso de nitrógeno no está justificada por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cuestiones de salud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y perjudica económicamente al mercado de los actores europeos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implicados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en los negocios de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>G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estión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>I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ntegrad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a de Plagas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(IPM, por sus siglas en inglés).</w:t>
      </w:r>
    </w:p>
    <w:p w14:paraId="67EFAAAA" w14:textId="77777777" w:rsidR="00430A8E" w:rsidRPr="007C38FC" w:rsidRDefault="00430A8E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53BD9563" w14:textId="34461807" w:rsidR="008F355D" w:rsidRPr="007C38FC" w:rsidRDefault="008F355D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Debido a este </w:t>
      </w:r>
      <w:r w:rsidR="00434D82" w:rsidRPr="007C38FC">
        <w:rPr>
          <w:rFonts w:asciiTheme="majorHAnsi" w:hAnsiTheme="majorHAnsi" w:cstheme="majorHAnsi"/>
          <w:sz w:val="24"/>
          <w:szCs w:val="24"/>
          <w:lang w:val="es-ES"/>
        </w:rPr>
        <w:t>vacío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265499">
        <w:rPr>
          <w:rFonts w:asciiTheme="majorHAnsi" w:hAnsiTheme="majorHAnsi" w:cstheme="majorHAnsi"/>
          <w:sz w:val="24"/>
          <w:szCs w:val="24"/>
          <w:lang w:val="es-ES"/>
        </w:rPr>
        <w:t>legal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, las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actuales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instalaciones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>anóxica</w:t>
      </w:r>
      <w:r w:rsidR="00B5617C" w:rsidRPr="007C38FC">
        <w:rPr>
          <w:rFonts w:asciiTheme="majorHAnsi" w:hAnsiTheme="majorHAnsi" w:cstheme="majorHAnsi"/>
          <w:sz w:val="24"/>
          <w:szCs w:val="24"/>
          <w:lang w:val="es-ES"/>
        </w:rPr>
        <w:t>s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de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Europa ya no pueden 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>funcionar legalmente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. </w:t>
      </w:r>
      <w:r w:rsidR="00B5617C" w:rsidRPr="007C38FC">
        <w:rPr>
          <w:rFonts w:asciiTheme="majorHAnsi" w:hAnsiTheme="majorHAnsi" w:cstheme="majorHAnsi"/>
          <w:sz w:val="24"/>
          <w:szCs w:val="24"/>
          <w:lang w:val="es-ES"/>
        </w:rPr>
        <w:t>En consecuencia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, las instituciones del patrimonio cultural se enfrentan a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l grave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peligro de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daños o 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pérdida irreparable</w:t>
      </w:r>
      <w:r w:rsidR="00160C76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de los objetos culturales</w:t>
      </w:r>
      <w:r w:rsidRPr="007C38FC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14:paraId="531C6C48" w14:textId="77777777" w:rsidR="007C38FC" w:rsidRPr="007C38FC" w:rsidRDefault="007C38FC" w:rsidP="007D58EB">
      <w:pPr>
        <w:spacing w:after="0"/>
        <w:jc w:val="both"/>
        <w:rPr>
          <w:rFonts w:asciiTheme="majorHAnsi" w:hAnsiTheme="majorHAnsi" w:cstheme="majorHAnsi"/>
          <w:b/>
          <w:color w:val="FF0000"/>
          <w:sz w:val="24"/>
          <w:szCs w:val="24"/>
          <w:lang w:val="es-ES"/>
        </w:rPr>
      </w:pPr>
    </w:p>
    <w:p w14:paraId="7159ECCE" w14:textId="001483DD" w:rsidR="008F355D" w:rsidRPr="007C38FC" w:rsidRDefault="00160C76" w:rsidP="007D58EB">
      <w:pPr>
        <w:spacing w:after="0"/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Por ello, i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nsto firmemente</w:t>
      </w: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a la Comisión</w:t>
      </w: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 </w:t>
      </w:r>
      <w:r w:rsidR="00B5617C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autorizar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una derogación</w:t>
      </w:r>
      <w:r w:rsidR="005E5D96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, de acuerdo con el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artículo 55</w:t>
      </w:r>
      <w:r w:rsidR="005E5D96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(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3</w:t>
      </w:r>
      <w:r w:rsidR="005E5D96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),</w:t>
      </w:r>
      <w:r w:rsidR="007C38FC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en 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el</w:t>
      </w: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Reglamento sobre Productos Biocidas</w:t>
      </w:r>
      <w:r w:rsidR="00265499">
        <w:rPr>
          <w:rFonts w:asciiTheme="majorHAnsi" w:hAnsiTheme="majorHAnsi" w:cstheme="majorHAnsi"/>
          <w:b/>
          <w:bCs/>
          <w:sz w:val="24"/>
          <w:szCs w:val="24"/>
          <w:lang w:val="es-ES"/>
        </w:rPr>
        <w:t>,</w:t>
      </w:r>
      <w:r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 xml:space="preserve"> a lo</w:t>
      </w:r>
      <w:r w:rsidR="008F355D" w:rsidRPr="007C38FC">
        <w:rPr>
          <w:rFonts w:asciiTheme="majorHAnsi" w:hAnsiTheme="majorHAnsi" w:cstheme="majorHAnsi"/>
          <w:b/>
          <w:bCs/>
          <w:sz w:val="24"/>
          <w:szCs w:val="24"/>
          <w:lang w:val="es-ES"/>
        </w:rPr>
        <w:t>s Estados Miembros que lo soliciten,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>dado que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este método permite 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tratar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cualquier material de manera segura,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no como el resto de </w:t>
      </w:r>
      <w:r w:rsidR="007C38FC" w:rsidRPr="007C38FC">
        <w:rPr>
          <w:rFonts w:asciiTheme="majorHAnsi" w:hAnsiTheme="majorHAnsi" w:cstheme="majorHAnsi"/>
          <w:sz w:val="24"/>
          <w:szCs w:val="24"/>
          <w:lang w:val="es-ES"/>
        </w:rPr>
        <w:t>las alternativas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. El nitrógeno generado </w:t>
      </w:r>
      <w:r w:rsidR="008F355D" w:rsidRPr="007C38FC">
        <w:rPr>
          <w:rFonts w:asciiTheme="majorHAnsi" w:hAnsiTheme="majorHAnsi" w:cstheme="majorHAnsi"/>
          <w:i/>
          <w:iCs/>
          <w:sz w:val="24"/>
          <w:szCs w:val="24"/>
          <w:lang w:val="es-ES"/>
        </w:rPr>
        <w:t>in sit</w:t>
      </w:r>
      <w:r w:rsidR="007C38FC">
        <w:rPr>
          <w:rFonts w:asciiTheme="majorHAnsi" w:hAnsiTheme="majorHAnsi" w:cstheme="majorHAnsi"/>
          <w:i/>
          <w:iCs/>
          <w:sz w:val="24"/>
          <w:szCs w:val="24"/>
          <w:lang w:val="es-ES"/>
        </w:rPr>
        <w:t>u</w:t>
      </w:r>
      <w:r w:rsidR="008F355D" w:rsidRPr="007C38FC">
        <w:rPr>
          <w:rFonts w:asciiTheme="majorHAnsi" w:hAnsiTheme="majorHAnsi" w:cstheme="majorHAnsi"/>
          <w:i/>
          <w:iCs/>
          <w:sz w:val="24"/>
          <w:szCs w:val="24"/>
          <w:lang w:val="es-ES"/>
        </w:rPr>
        <w:t xml:space="preserve"> 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>es inocuo y e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s la alternativa más económica y respetuosa con el medioambiente al uso actualmente 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permitido 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>de</w:t>
      </w:r>
      <w:r w:rsidR="00594420" w:rsidRPr="007C38FC">
        <w:rPr>
          <w:rFonts w:asciiTheme="majorHAnsi" w:hAnsiTheme="majorHAnsi" w:cstheme="majorHAnsi"/>
          <w:sz w:val="24"/>
          <w:szCs w:val="24"/>
          <w:lang w:val="es-ES"/>
        </w:rPr>
        <w:t>l</w:t>
      </w:r>
      <w:r w:rsidR="008F355D" w:rsidRPr="007C38FC">
        <w:rPr>
          <w:rFonts w:asciiTheme="majorHAnsi" w:hAnsiTheme="majorHAnsi" w:cstheme="majorHAnsi"/>
          <w:sz w:val="24"/>
          <w:szCs w:val="24"/>
          <w:lang w:val="es-ES"/>
        </w:rPr>
        <w:t xml:space="preserve"> nitrógeno para este fin.</w:t>
      </w:r>
    </w:p>
    <w:p w14:paraId="2A293A77" w14:textId="77777777" w:rsidR="00D23DD9" w:rsidRPr="007C38FC" w:rsidRDefault="00D23DD9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4C4DAE0A" w14:textId="3B083189" w:rsidR="008F355D" w:rsidRPr="007C38FC" w:rsidRDefault="008F355D" w:rsidP="007D58EB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lastRenderedPageBreak/>
        <w:t>Quedo a la espera de su respuesta sobre este importante asunto.</w:t>
      </w:r>
    </w:p>
    <w:p w14:paraId="3C50B881" w14:textId="77777777" w:rsidR="00BB4EAC" w:rsidRPr="007C38FC" w:rsidRDefault="00BB4EAC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14:paraId="7FC2FD7C" w14:textId="2E13550E" w:rsidR="00BB4EAC" w:rsidRPr="007C38FC" w:rsidRDefault="008F355D" w:rsidP="00430A8E">
      <w:pPr>
        <w:spacing w:after="0"/>
        <w:jc w:val="both"/>
        <w:rPr>
          <w:rFonts w:asciiTheme="majorHAnsi" w:hAnsiTheme="majorHAnsi" w:cstheme="majorHAnsi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sz w:val="24"/>
          <w:szCs w:val="24"/>
          <w:lang w:val="es-ES"/>
        </w:rPr>
        <w:t>Atentamente</w:t>
      </w:r>
      <w:r w:rsidR="00265499">
        <w:rPr>
          <w:rFonts w:asciiTheme="majorHAnsi" w:hAnsiTheme="majorHAnsi" w:cstheme="majorHAnsi"/>
          <w:sz w:val="24"/>
          <w:szCs w:val="24"/>
          <w:lang w:val="es-ES"/>
        </w:rPr>
        <w:t>,</w:t>
      </w:r>
    </w:p>
    <w:p w14:paraId="768368F7" w14:textId="49DF7E1C" w:rsidR="00BB4EAC" w:rsidRPr="007C38FC" w:rsidRDefault="00BB4EAC" w:rsidP="00430A8E">
      <w:pPr>
        <w:spacing w:after="0"/>
        <w:jc w:val="both"/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s-ES"/>
        </w:rPr>
      </w:pPr>
      <w:r w:rsidRPr="007C38F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s-ES"/>
        </w:rPr>
        <w:t>[</w:t>
      </w:r>
      <w:bookmarkStart w:id="0" w:name="_GoBack"/>
      <w:bookmarkEnd w:id="0"/>
      <w:r w:rsidRPr="005A44C7">
        <w:rPr>
          <w:rFonts w:asciiTheme="majorHAnsi" w:hAnsiTheme="majorHAnsi" w:cstheme="majorHAnsi"/>
          <w:color w:val="808080" w:themeColor="background1" w:themeShade="80"/>
          <w:sz w:val="24"/>
          <w:szCs w:val="24"/>
          <w:highlight w:val="yellow"/>
          <w:lang w:val="es-ES"/>
        </w:rPr>
        <w:t>n</w:t>
      </w:r>
      <w:r w:rsidR="008F355D" w:rsidRPr="005A44C7">
        <w:rPr>
          <w:rFonts w:asciiTheme="majorHAnsi" w:hAnsiTheme="majorHAnsi" w:cstheme="majorHAnsi"/>
          <w:color w:val="808080" w:themeColor="background1" w:themeShade="80"/>
          <w:sz w:val="24"/>
          <w:szCs w:val="24"/>
          <w:highlight w:val="yellow"/>
          <w:lang w:val="es-ES"/>
        </w:rPr>
        <w:t>ombre</w:t>
      </w:r>
      <w:r w:rsidR="005A44C7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s-ES"/>
        </w:rPr>
        <w:t xml:space="preserve"> </w:t>
      </w:r>
      <w:r w:rsidRPr="007C38FC">
        <w:rPr>
          <w:rFonts w:asciiTheme="majorHAnsi" w:hAnsiTheme="majorHAnsi" w:cstheme="majorHAnsi"/>
          <w:color w:val="808080" w:themeColor="background1" w:themeShade="80"/>
          <w:sz w:val="24"/>
          <w:szCs w:val="24"/>
          <w:lang w:val="es-ES"/>
        </w:rPr>
        <w:t>]</w:t>
      </w:r>
    </w:p>
    <w:p w14:paraId="2A5ED3BA" w14:textId="77777777" w:rsidR="00156D9C" w:rsidRPr="007C38FC" w:rsidRDefault="00156D9C">
      <w:pPr>
        <w:rPr>
          <w:rFonts w:asciiTheme="majorHAnsi" w:hAnsiTheme="majorHAnsi" w:cstheme="majorHAnsi"/>
          <w:lang w:val="es-ES"/>
        </w:rPr>
      </w:pPr>
    </w:p>
    <w:sectPr w:rsidR="00156D9C" w:rsidRPr="007C38F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A8E"/>
    <w:rsid w:val="00060ED5"/>
    <w:rsid w:val="000C5DAD"/>
    <w:rsid w:val="000F5B1B"/>
    <w:rsid w:val="00110037"/>
    <w:rsid w:val="00156D9C"/>
    <w:rsid w:val="00160C76"/>
    <w:rsid w:val="002337D3"/>
    <w:rsid w:val="00234C0C"/>
    <w:rsid w:val="00265499"/>
    <w:rsid w:val="002865A1"/>
    <w:rsid w:val="003476C1"/>
    <w:rsid w:val="003B0717"/>
    <w:rsid w:val="00430A8E"/>
    <w:rsid w:val="00434D82"/>
    <w:rsid w:val="004C73FC"/>
    <w:rsid w:val="00503EA3"/>
    <w:rsid w:val="00594420"/>
    <w:rsid w:val="005A44C7"/>
    <w:rsid w:val="005E5D96"/>
    <w:rsid w:val="006968AE"/>
    <w:rsid w:val="007C38FC"/>
    <w:rsid w:val="007D58EB"/>
    <w:rsid w:val="00844F80"/>
    <w:rsid w:val="008F0B0B"/>
    <w:rsid w:val="008F355D"/>
    <w:rsid w:val="00A54F62"/>
    <w:rsid w:val="00A93016"/>
    <w:rsid w:val="00A963B7"/>
    <w:rsid w:val="00B5617C"/>
    <w:rsid w:val="00BB4EAC"/>
    <w:rsid w:val="00D23DD9"/>
    <w:rsid w:val="00DA0965"/>
    <w:rsid w:val="00DC1A8E"/>
    <w:rsid w:val="00DC22EF"/>
    <w:rsid w:val="00E4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C103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30A8E"/>
  </w:style>
  <w:style w:type="paragraph" w:styleId="berschrift1">
    <w:name w:val="heading 1"/>
    <w:basedOn w:val="Standard"/>
    <w:next w:val="Standard"/>
    <w:link w:val="berschrift1Zchn"/>
    <w:uiPriority w:val="9"/>
    <w:qFormat/>
    <w:rsid w:val="00DA09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B4EA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A09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B4EA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23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23D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055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320</Words>
  <Characters>2021</Characters>
  <Application>Microsoft Office Word</Application>
  <DocSecurity>0</DocSecurity>
  <Lines>16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Overskrifter</vt:lpstr>
      </vt:variant>
      <vt:variant>
        <vt:i4>3</vt:i4>
      </vt:variant>
    </vt:vector>
  </HeadingPairs>
  <TitlesOfParts>
    <vt:vector size="5" baseType="lpstr">
      <vt:lpstr/>
      <vt:lpstr/>
      <vt:lpstr>Belgium</vt:lpstr>
      <vt:lpstr>    </vt:lpstr>
      <vt:lpstr>    Appeal for the cultural heritage collections: Allow a derogation of the nitrogen</vt:lpstr>
    </vt:vector>
  </TitlesOfParts>
  <Company>Nationalmuseet</Company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Strætkvern, Kristiane</dc:creator>
  <cp:lastModifiedBy>Rebecca Thonander</cp:lastModifiedBy>
  <cp:revision>3</cp:revision>
  <dcterms:created xsi:type="dcterms:W3CDTF">2019-12-09T12:38:00Z</dcterms:created>
  <dcterms:modified xsi:type="dcterms:W3CDTF">2019-12-11T08:59:00Z</dcterms:modified>
</cp:coreProperties>
</file>