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44D2" w14:textId="77777777" w:rsidR="00BB4EAC" w:rsidRPr="002174BE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[ </w:t>
      </w:r>
      <w:r w:rsidR="00A237C7" w:rsidRPr="002174BE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  <w:t>Expéditeur : nom, institution</w:t>
      </w:r>
      <w:r w:rsidRPr="002174BE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  <w:t>/organisation,</w:t>
      </w:r>
    </w:p>
    <w:p w14:paraId="3A7D1E1B" w14:textId="77777777" w:rsidR="00BB4EAC" w:rsidRPr="002174BE" w:rsidRDefault="00A237C7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</w:pPr>
      <w:r w:rsidRPr="002174BE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  <w:t>papier en-tête de l’organisation si possible</w:t>
      </w:r>
    </w:p>
    <w:p w14:paraId="6CF8C846" w14:textId="217C676D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</w:pPr>
      <w:r w:rsidRPr="002174BE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  <w:t>Adress</w:t>
      </w:r>
      <w:r w:rsidR="00A237C7" w:rsidRPr="002174BE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  <w:t>e</w:t>
      </w:r>
      <w:r w:rsidRPr="002174BE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  <w:t xml:space="preserve">, </w:t>
      </w:r>
      <w:r w:rsidR="00A237C7" w:rsidRPr="002174BE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  <w:t>pays</w:t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]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  <w:t xml:space="preserve"> 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="002174BE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="002174BE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[</w:t>
      </w:r>
      <w:r w:rsidRPr="002174BE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fr-FR" w:eastAsia="da-DK"/>
        </w:rPr>
        <w:t>date</w:t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]</w:t>
      </w:r>
    </w:p>
    <w:p w14:paraId="1F2816CC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</w:p>
    <w:p w14:paraId="5FFF6334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</w:p>
    <w:p w14:paraId="638DAC96" w14:textId="77777777" w:rsidR="00BB4EAC" w:rsidRPr="00A237C7" w:rsidRDefault="00AC5E5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Direction Générale de la Commission Européenne</w:t>
      </w:r>
      <w:r w:rsidR="00BB4EAC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 </w:t>
      </w:r>
    </w:p>
    <w:p w14:paraId="4D22E982" w14:textId="77777777" w:rsidR="00BB4EAC" w:rsidRPr="00A237C7" w:rsidRDefault="00EC266F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Unité </w:t>
      </w:r>
      <w:r w:rsidR="00BB4EAC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SANTE E.4 – </w:t>
      </w:r>
    </w:p>
    <w:p w14:paraId="4F64F319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Pesticides </w:t>
      </w:r>
      <w:r w:rsidR="00EC266F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et 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Biocides F101 05/068 </w:t>
      </w:r>
    </w:p>
    <w:p w14:paraId="6ECEDBDF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1049 Bru</w:t>
      </w:r>
      <w:r w:rsidR="00EC266F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xelles</w:t>
      </w:r>
    </w:p>
    <w:p w14:paraId="10D5F965" w14:textId="77777777" w:rsidR="00BB4EAC" w:rsidRPr="00A237C7" w:rsidRDefault="00BB4EAC" w:rsidP="00BB4EAC">
      <w:pPr>
        <w:pStyle w:val="berschrift1"/>
        <w:spacing w:before="0"/>
        <w:rPr>
          <w:rFonts w:cstheme="majorHAnsi"/>
          <w:sz w:val="22"/>
          <w:szCs w:val="22"/>
          <w:lang w:val="fr-FR"/>
        </w:rPr>
      </w:pPr>
      <w:r w:rsidRPr="00A237C7">
        <w:rPr>
          <w:rFonts w:eastAsia="Calibri" w:cstheme="majorHAnsi"/>
          <w:bCs/>
          <w:color w:val="auto"/>
          <w:sz w:val="22"/>
          <w:szCs w:val="22"/>
          <w:lang w:val="fr-FR" w:eastAsia="da-DK"/>
        </w:rPr>
        <w:t>Belgi</w:t>
      </w:r>
      <w:r w:rsidR="00EC266F" w:rsidRPr="00A237C7">
        <w:rPr>
          <w:rFonts w:eastAsia="Calibri" w:cstheme="majorHAnsi"/>
          <w:bCs/>
          <w:color w:val="auto"/>
          <w:sz w:val="22"/>
          <w:szCs w:val="22"/>
          <w:lang w:val="fr-FR" w:eastAsia="da-DK"/>
        </w:rPr>
        <w:t>que</w:t>
      </w:r>
    </w:p>
    <w:p w14:paraId="7BCD4312" w14:textId="77777777" w:rsidR="00BB4EAC" w:rsidRPr="00A237C7" w:rsidRDefault="00BB4EAC" w:rsidP="00BB4EAC">
      <w:pPr>
        <w:pStyle w:val="berschrift2"/>
        <w:rPr>
          <w:b/>
          <w:lang w:val="fr-FR"/>
        </w:rPr>
      </w:pPr>
    </w:p>
    <w:p w14:paraId="0C931043" w14:textId="77777777" w:rsidR="00EC266F" w:rsidRPr="00A237C7" w:rsidRDefault="00EC266F" w:rsidP="00281153">
      <w:pPr>
        <w:pStyle w:val="berschrift2"/>
        <w:jc w:val="both"/>
        <w:rPr>
          <w:b/>
          <w:lang w:val="fr-FR"/>
        </w:rPr>
      </w:pPr>
      <w:r>
        <w:rPr>
          <w:b/>
          <w:lang w:val="fr-FR"/>
        </w:rPr>
        <w:t xml:space="preserve">Recours </w:t>
      </w:r>
      <w:r w:rsidRPr="00A237C7">
        <w:rPr>
          <w:b/>
          <w:lang w:val="fr-FR"/>
        </w:rPr>
        <w:t>pour les collections du patrimoine culturel : Permettre une dérogation à l'interdiction de l'azote</w:t>
      </w:r>
      <w:r>
        <w:rPr>
          <w:b/>
          <w:lang w:val="fr-FR"/>
        </w:rPr>
        <w:t xml:space="preserve"> </w:t>
      </w:r>
      <w:r w:rsidRPr="00A237C7">
        <w:rPr>
          <w:b/>
          <w:lang w:val="fr-FR"/>
        </w:rPr>
        <w:t>(EU 528/2012)</w:t>
      </w:r>
    </w:p>
    <w:p w14:paraId="00E3A499" w14:textId="77777777" w:rsidR="00EC266F" w:rsidRPr="00281153" w:rsidRDefault="00EC266F" w:rsidP="00281153">
      <w:pPr>
        <w:pStyle w:val="berschrift2"/>
        <w:jc w:val="both"/>
        <w:rPr>
          <w:rFonts w:eastAsiaTheme="minorHAnsi" w:cstheme="majorHAnsi"/>
          <w:color w:val="auto"/>
          <w:sz w:val="24"/>
          <w:szCs w:val="24"/>
          <w:lang w:val="fr-FR"/>
        </w:rPr>
      </w:pPr>
    </w:p>
    <w:p w14:paraId="382E3549" w14:textId="77777777" w:rsidR="00EC266F" w:rsidRPr="00A237C7" w:rsidRDefault="00EC266F" w:rsidP="00281153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>Les institutions de mémoire, les musées et les monuments sont fréquemment menacés par des espèces nuisibles en raison de diverses formes de contamination et des conditions climatiques changeantes.</w:t>
      </w:r>
    </w:p>
    <w:p w14:paraId="5FBEF1BC" w14:textId="77777777" w:rsidR="00EC266F" w:rsidRPr="00A237C7" w:rsidRDefault="00EC266F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>L'une des méthodes les plus polyvalentes et les plus respectueuses de l'environnement, évitant l'utilisation de produits chimiques dangereux, à des fins de désinfection est l'</w:t>
      </w:r>
      <w:r>
        <w:rPr>
          <w:rFonts w:asciiTheme="majorHAnsi" w:hAnsiTheme="majorHAnsi" w:cstheme="majorHAnsi"/>
          <w:sz w:val="24"/>
          <w:szCs w:val="24"/>
          <w:lang w:val="fr-FR"/>
        </w:rPr>
        <w:t> « 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anoxie</w:t>
      </w:r>
      <w:r>
        <w:rPr>
          <w:rFonts w:asciiTheme="majorHAnsi" w:hAnsiTheme="majorHAnsi" w:cstheme="majorHAnsi"/>
          <w:sz w:val="24"/>
          <w:szCs w:val="24"/>
          <w:lang w:val="fr-FR"/>
        </w:rPr>
        <w:t> »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ou les atmosphères contrôlées à très faible teneur en oxygène dans des chambres de traitement où </w:t>
      </w:r>
      <w:r w:rsidRPr="00A237C7">
        <w:rPr>
          <w:rFonts w:asciiTheme="majorHAnsi" w:hAnsiTheme="majorHAnsi" w:cstheme="majorHAnsi"/>
          <w:b/>
          <w:sz w:val="24"/>
          <w:szCs w:val="24"/>
          <w:lang w:val="fr-FR"/>
        </w:rPr>
        <w:t>l'azote est généré in situ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pour la désinfestation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anti-insecte par l’anoxie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des objets du patrimoine culturel.</w:t>
      </w:r>
    </w:p>
    <w:p w14:paraId="3B4C91CA" w14:textId="77777777" w:rsidR="00430A8E" w:rsidRPr="00281153" w:rsidRDefault="00430A8E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0381B9B8" w14:textId="77777777" w:rsidR="00EC266F" w:rsidRPr="00A237C7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u w:val="single"/>
          <w:lang w:val="fr-FR"/>
        </w:rPr>
        <w:t>La question de la législation de l'UE</w:t>
      </w:r>
    </w:p>
    <w:p w14:paraId="22BE7853" w14:textId="77777777" w:rsidR="00EC266F" w:rsidRPr="00A237C7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Depuis l'enregistrement obligatoire de l'utilisation de l'azote à des fins de désinfection par le règlement UE 528/2012 sur les produits biocides en septembre 2017, une seule méthode d'utilisation de l'azote (ainsi que plusieurs autres restrictions) a été reconnue et incluse : l'azote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stockée </w:t>
      </w:r>
      <w:r w:rsidR="00CE3F22">
        <w:rPr>
          <w:rFonts w:asciiTheme="majorHAnsi" w:hAnsiTheme="majorHAnsi" w:cstheme="majorHAnsi"/>
          <w:sz w:val="24"/>
          <w:szCs w:val="24"/>
          <w:lang w:val="fr-FR"/>
        </w:rPr>
        <w:t>sous forme de bidons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. L'azote produit in situ </w:t>
      </w:r>
      <w:r w:rsidR="00CE3F22">
        <w:rPr>
          <w:rFonts w:asciiTheme="majorHAnsi" w:hAnsiTheme="majorHAnsi" w:cstheme="majorHAnsi"/>
          <w:sz w:val="24"/>
          <w:szCs w:val="24"/>
          <w:lang w:val="fr-FR"/>
        </w:rPr>
        <w:t>n’est plus autorisée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. L'interdiction de l'azote n'est pas justifiée pour des raisons de santé et de préjudice économique pour le marché des acteurs européens de la lutte intégrée contre les ravageurs (IPM).</w:t>
      </w:r>
    </w:p>
    <w:p w14:paraId="001ACFA3" w14:textId="77777777" w:rsidR="00EC266F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1F9C5EA2" w14:textId="77777777" w:rsidR="00CE3F22" w:rsidRPr="00A237C7" w:rsidRDefault="00CE3F22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>En raison de cette lacune juridique, les installations d'anoxie existantes en Europe ne peuvent plus être exploitées légalement. En conséquence, les institutions du patrimoine culturel sont confrontées à un grave danger de dommages ou de pertes irrémédiables.</w:t>
      </w:r>
    </w:p>
    <w:p w14:paraId="4CE72C18" w14:textId="77777777" w:rsidR="00CE3F22" w:rsidRPr="00A237C7" w:rsidRDefault="00CE3F22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5B936245" w14:textId="77777777" w:rsidR="00CE3F22" w:rsidRPr="00A237C7" w:rsidRDefault="00CE3F22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b/>
          <w:sz w:val="24"/>
          <w:szCs w:val="24"/>
          <w:lang w:val="fr-FR"/>
        </w:rPr>
        <w:t>J'invite donc instamment la Commission à autoriser une dérogation au titre de l'article 55, paragraphe 3, dans le RPB, aux États membres qui en font la demande,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fr-FR"/>
        </w:rPr>
        <w:t>du fait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que cette méthode permet de traiter toute matière en toute sécurité, contrairement aux autres méthodes. L'azote produit in situ est inoffensif, l'alternative la plus économique et la plus écologique à l'utilisation actuellement autorisée de l'azote à cette fin.</w:t>
      </w:r>
    </w:p>
    <w:p w14:paraId="402DCAD5" w14:textId="77777777" w:rsidR="00CE3F22" w:rsidRPr="00CE3F22" w:rsidRDefault="00CE3F22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37CB1815" w14:textId="77777777" w:rsidR="00430A8E" w:rsidRPr="00A237C7" w:rsidRDefault="00A237C7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Je reste d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ans l’attente de votre réponse sur cette question</w:t>
      </w:r>
      <w:r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0567BB25" w14:textId="77777777" w:rsidR="00BB4EAC" w:rsidRPr="00A237C7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778321ED" w14:textId="77777777" w:rsidR="00BB4EAC" w:rsidRPr="00A237C7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bookmarkStart w:id="0" w:name="_GoBack"/>
      <w:bookmarkEnd w:id="0"/>
    </w:p>
    <w:p w14:paraId="7CB976BB" w14:textId="77777777" w:rsidR="00A237C7" w:rsidRDefault="00A237C7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Cordialement</w:t>
      </w:r>
      <w:proofErr w:type="spellEnd"/>
    </w:p>
    <w:p w14:paraId="720CEB07" w14:textId="093EB58A" w:rsidR="00156D9C" w:rsidRPr="00BB4EAC" w:rsidRDefault="002174BE" w:rsidP="00A237C7">
      <w:pPr>
        <w:spacing w:after="0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lastRenderedPageBreak/>
        <w:t>[</w:t>
      </w:r>
      <w:r w:rsidR="00BB4EAC"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 </w:t>
      </w:r>
      <w:r w:rsidR="00A237C7" w:rsidRPr="002174BE">
        <w:rPr>
          <w:rFonts w:asciiTheme="majorHAnsi" w:hAnsiTheme="majorHAnsi" w:cstheme="majorHAnsi"/>
          <w:color w:val="808080" w:themeColor="background1" w:themeShade="80"/>
          <w:sz w:val="24"/>
          <w:szCs w:val="24"/>
          <w:highlight w:val="yellow"/>
          <w:lang w:val="en-US"/>
        </w:rPr>
        <w:t>nom</w:t>
      </w:r>
      <w:r w:rsidR="00BB4EAC"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>]</w:t>
      </w:r>
    </w:p>
    <w:sectPr w:rsidR="00156D9C" w:rsidRPr="00BB4EAC" w:rsidSect="00A237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8E"/>
    <w:rsid w:val="00110037"/>
    <w:rsid w:val="00156D9C"/>
    <w:rsid w:val="002174BE"/>
    <w:rsid w:val="002337D3"/>
    <w:rsid w:val="00234C0C"/>
    <w:rsid w:val="00281153"/>
    <w:rsid w:val="003B0717"/>
    <w:rsid w:val="00430A8E"/>
    <w:rsid w:val="004C73FC"/>
    <w:rsid w:val="00844F80"/>
    <w:rsid w:val="00A237C7"/>
    <w:rsid w:val="00A93016"/>
    <w:rsid w:val="00AC5E59"/>
    <w:rsid w:val="00BB4EAC"/>
    <w:rsid w:val="00CE3F22"/>
    <w:rsid w:val="00D23DD9"/>
    <w:rsid w:val="00DA0965"/>
    <w:rsid w:val="00DC22EF"/>
    <w:rsid w:val="00E47530"/>
    <w:rsid w:val="00EC266F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7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5" baseType="lpstr">
      <vt:lpstr/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Rebecca Thonander</cp:lastModifiedBy>
  <cp:revision>3</cp:revision>
  <dcterms:created xsi:type="dcterms:W3CDTF">2019-12-04T11:35:00Z</dcterms:created>
  <dcterms:modified xsi:type="dcterms:W3CDTF">2019-12-11T09:00:00Z</dcterms:modified>
</cp:coreProperties>
</file>